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CDC" w:rsidRDefault="001C4CDC" w:rsidP="001C4CDC">
      <w:r>
        <w:t>Fővárosi Önkormányzat Gyulai Idősek Otthona</w:t>
      </w:r>
    </w:p>
    <w:p w:rsidR="001C4CDC" w:rsidRDefault="001C4CDC" w:rsidP="001C4CDC">
      <w:pPr>
        <w:pBdr>
          <w:bottom w:val="single" w:sz="4" w:space="1" w:color="auto"/>
        </w:pBdr>
      </w:pPr>
      <w:r>
        <w:t>5700 Gyula, Vértanúk útja 1-5.</w:t>
      </w:r>
    </w:p>
    <w:p w:rsidR="001C4CDC" w:rsidRDefault="001C4CDC" w:rsidP="001C4CDC"/>
    <w:p w:rsidR="001C4CDC" w:rsidRDefault="001C4CDC" w:rsidP="001C4CDC">
      <w:pPr>
        <w:jc w:val="center"/>
      </w:pPr>
      <w:r>
        <w:t>TÁJÉKOZTATÓ</w:t>
      </w:r>
    </w:p>
    <w:p w:rsidR="001C4CDC" w:rsidRDefault="001C4CDC" w:rsidP="001C4CDC">
      <w:pPr>
        <w:jc w:val="center"/>
      </w:pPr>
      <w:proofErr w:type="gramStart"/>
      <w:r>
        <w:t>az</w:t>
      </w:r>
      <w:proofErr w:type="gramEnd"/>
      <w:r>
        <w:t xml:space="preserve"> üzleti titkok védelméről</w:t>
      </w:r>
    </w:p>
    <w:p w:rsidR="001C4CDC" w:rsidRDefault="001C4CDC" w:rsidP="001C4CDC"/>
    <w:p w:rsidR="001C4CDC" w:rsidRDefault="001C4CDC" w:rsidP="001C4CDC">
      <w:r>
        <w:t xml:space="preserve">Tisztelt Partnereink! </w:t>
      </w:r>
    </w:p>
    <w:p w:rsidR="001C4CDC" w:rsidRDefault="001C4CDC" w:rsidP="001C4CDC"/>
    <w:p w:rsidR="001C4CDC" w:rsidRDefault="001C4CDC" w:rsidP="006A1606">
      <w:pPr>
        <w:jc w:val="both"/>
      </w:pPr>
      <w:r>
        <w:t xml:space="preserve">Felhívjuk figyelmüket arra, hogy üzleti titok nyilatkozat hiányában védendő adataik ismertté válhatnak más vállalkozások, esetleg versenytársak számára. Kérjük, hogy ennek elkerülése érdekében figyelmesen olvassák el az alábbi útmutatót. </w:t>
      </w:r>
    </w:p>
    <w:p w:rsidR="001C4CDC" w:rsidRDefault="001C4CDC" w:rsidP="006A1606">
      <w:pPr>
        <w:jc w:val="both"/>
      </w:pPr>
    </w:p>
    <w:p w:rsidR="001C4CDC" w:rsidRDefault="00993A80" w:rsidP="006A1606">
      <w:pPr>
        <w:jc w:val="both"/>
      </w:pPr>
      <w:r>
        <w:t>A Fővárosi Önkormányzat Gyulai Idősek Otthonához</w:t>
      </w:r>
      <w:r w:rsidR="001C4CDC">
        <w:t xml:space="preserve"> (a továbbiakban: </w:t>
      </w:r>
      <w:r>
        <w:t>Intézmény</w:t>
      </w:r>
      <w:r w:rsidR="001C4CDC">
        <w:t>) érkezett dokumen</w:t>
      </w:r>
      <w:r w:rsidR="006A1606">
        <w:t>tumokban szereplő üzleti titkok</w:t>
      </w:r>
      <w:r>
        <w:rPr>
          <w:rStyle w:val="Lbjegyzet-hivatkozs"/>
        </w:rPr>
        <w:footnoteReference w:id="1"/>
      </w:r>
      <w:r w:rsidR="001C4CDC">
        <w:t xml:space="preserve"> kezelésének és védelmének részletes szabályait a</w:t>
      </w:r>
      <w:r>
        <w:t>z intézmény Üzleti titok szabályzata (továbbiakban szabályzat)</w:t>
      </w:r>
      <w:r w:rsidR="001C4CDC">
        <w:t xml:space="preserve"> rögzíti. A </w:t>
      </w:r>
      <w:r>
        <w:t>szabályzat</w:t>
      </w:r>
      <w:r w:rsidR="001C4CDC">
        <w:t xml:space="preserve"> célja a titokvédelem biztosítása az adatkezelés átláthatóságának növelése, a belső iratkezelési folyamatok differenciálása és az esetleges incidensek hatékony kezelése révén. </w:t>
      </w:r>
    </w:p>
    <w:p w:rsidR="001C4CDC" w:rsidRDefault="001C4CDC" w:rsidP="006A1606">
      <w:pPr>
        <w:jc w:val="both"/>
      </w:pPr>
      <w:r>
        <w:t xml:space="preserve">A </w:t>
      </w:r>
      <w:r w:rsidR="00993A80">
        <w:t>szabályzat</w:t>
      </w:r>
      <w:r>
        <w:t xml:space="preserve"> alapján a</w:t>
      </w:r>
      <w:r w:rsidR="00993A80">
        <w:t>z</w:t>
      </w:r>
      <w:r>
        <w:t xml:space="preserve"> </w:t>
      </w:r>
      <w:r w:rsidR="00993A80">
        <w:t>Intézmény</w:t>
      </w:r>
      <w:r>
        <w:t xml:space="preserve"> köteles a hozzá szerződéskötés révén vagy más módon eljutott üzleti titokhoz fűződő jogokat védeni, ugyanakkor a birtokába került adatokat, iratokat az egyes eljárásai során felhasználhatja. Amennyiben nem kerül sor valamely adat üzleti titokként történő megjelölésére a benyújtott irat tekintetében, annak tartalma mások számára is megismerhetővé válhat. A</w:t>
      </w:r>
      <w:r w:rsidR="00993A80">
        <w:t>z</w:t>
      </w:r>
      <w:r>
        <w:t xml:space="preserve"> </w:t>
      </w:r>
      <w:r w:rsidR="00993A80">
        <w:t>Intézmény</w:t>
      </w:r>
      <w:r>
        <w:t xml:space="preserve"> azt az adatot, információt tekinti üzleti titoknak, amelyet az üzleti titok jogosultja ekként megjelöl, kivéve, ha az üzleti titokként történő megjelölés nyilvánvalóan ellentétes az üzleti titok védelméről szóló 2018. évi LIV. törvény (a továbbiakban: </w:t>
      </w:r>
      <w:proofErr w:type="spellStart"/>
      <w:r>
        <w:t>Ütv</w:t>
      </w:r>
      <w:proofErr w:type="spellEnd"/>
      <w:r>
        <w:t xml:space="preserve">.) rendelkezéseivel. Az egyes adatok tekintetében szükséges az üzleti titokként történő kezelés indokának megjelölése is. Fontos, hogy az erre vonatkozó nyilatkozatot (a továbbiakban: üzleti titok nyilatkozat) főszabály szerint már az adat szolgáltatásával egyidejűleg meg kell tenni. </w:t>
      </w:r>
    </w:p>
    <w:p w:rsidR="001C4CDC" w:rsidRDefault="001C4CDC" w:rsidP="006A1606">
      <w:pPr>
        <w:jc w:val="both"/>
      </w:pPr>
      <w:r>
        <w:t>Ha erre nem kerül sor, a</w:t>
      </w:r>
      <w:r w:rsidR="00993A80">
        <w:t>z</w:t>
      </w:r>
      <w:r>
        <w:t xml:space="preserve"> </w:t>
      </w:r>
      <w:r w:rsidR="00993A80">
        <w:t>Intézmény</w:t>
      </w:r>
      <w:r>
        <w:t xml:space="preserve"> nem köteles üzleti titok megjelölésére vonatkozó nyilatkozattételi felhívást küldeni, erre tekintettel – az egyéb törvényi feltételek fennállása esetén – az irat mások számára is megismerhetővé válhat, például az adatok elektronikus közzététele révén. </w:t>
      </w:r>
    </w:p>
    <w:p w:rsidR="001C4CDC" w:rsidRDefault="001C4CDC" w:rsidP="006A1606">
      <w:pPr>
        <w:jc w:val="both"/>
      </w:pPr>
      <w:proofErr w:type="gramStart"/>
      <w:r>
        <w:lastRenderedPageBreak/>
        <w:t xml:space="preserve">Felhívjuk figyelmüket, hogy nyilvánvalóan ellentétes </w:t>
      </w:r>
      <w:proofErr w:type="spellStart"/>
      <w:r>
        <w:t>Ütv</w:t>
      </w:r>
      <w:proofErr w:type="spellEnd"/>
      <w:r>
        <w:t>. rendelkezéseivel az üzleti titokként történő megjelölés abban az esetben, ha az olyan adatra vonatkozik, amely eleve közismert (az interneten, például a vállalkozás honlapján elérhető), közhiteles nyilvántartásban (például a cégnyilvántartásban) szerepel, az adott gazdasági tevékenységet végzők számára könnyen hozzáférhető (például adott piac működésére vonatkozó ismeretek), vagy amelyet a jogosult titoktartási kötelezettség nélkül harmadik személlyel közölt (például ha egy szolgáltatás működését a fogyasztó pusztán az igénybevétel révén</w:t>
      </w:r>
      <w:proofErr w:type="gramEnd"/>
      <w:r>
        <w:t xml:space="preserve"> </w:t>
      </w:r>
      <w:proofErr w:type="gramStart"/>
      <w:r>
        <w:t>megismerheti</w:t>
      </w:r>
      <w:proofErr w:type="gramEnd"/>
      <w:r>
        <w:t xml:space="preserve">). Nem tekinthető üzleti titoknak az az adat, amelyet törvény közérdekű vagy közérdekből nyilvános adatnak minősít. Az üzleti titok nyilatkozatban pontosan meg kell jelölni, hogy mely irat melyik része minősül a szerződéses partner álláspontja szerint üzleti titoknak (az iraton belül az érintett adat fellelhetőségének szövegszerű azonosításával), illetve az egyes adatok tekintetében külön-külön kell feltüntetni az üzleti titokként minősülés egyedi indokait. Ha a rendelkezésre bocsátott irat más vállalkozás üzleti titkát (is) tartalmazza, akkor ezen adat üzleti titokként történő minősítésére vonatkozóan az adat jogosultjának nyilatkozatát is szükséges lehet közvetlenül beszerezni. </w:t>
      </w:r>
    </w:p>
    <w:p w:rsidR="001C4CDC" w:rsidRDefault="001C4CDC" w:rsidP="006A1606">
      <w:pPr>
        <w:jc w:val="both"/>
      </w:pPr>
      <w:r>
        <w:t>Az alábbi sablon – és az abban feltüntetett példák – használata megkönnyítheti az üzleti titkot tartalmazó adatok azonosítását, megjelölését, indokolását és így a</w:t>
      </w:r>
      <w:r w:rsidR="00390E0F">
        <w:t>z</w:t>
      </w:r>
      <w:r>
        <w:t xml:space="preserve"> </w:t>
      </w:r>
      <w:r w:rsidR="00390E0F">
        <w:t>Intézmény</w:t>
      </w:r>
      <w:r>
        <w:t xml:space="preserve"> részéről azok üzleti titokként történő kezelését: </w:t>
      </w:r>
    </w:p>
    <w:tbl>
      <w:tblPr>
        <w:tblStyle w:val="Rcsostblzat"/>
        <w:tblW w:w="0" w:type="auto"/>
        <w:tblLook w:val="04A0" w:firstRow="1" w:lastRow="0" w:firstColumn="1" w:lastColumn="0" w:noHBand="0" w:noVBand="1"/>
      </w:tblPr>
      <w:tblGrid>
        <w:gridCol w:w="2265"/>
        <w:gridCol w:w="2265"/>
        <w:gridCol w:w="2266"/>
        <w:gridCol w:w="2266"/>
      </w:tblGrid>
      <w:tr w:rsidR="006A1606" w:rsidTr="006A1606">
        <w:tc>
          <w:tcPr>
            <w:tcW w:w="2265" w:type="dxa"/>
          </w:tcPr>
          <w:p w:rsidR="006A1606" w:rsidRDefault="006A1606" w:rsidP="006A1606">
            <w:pPr>
              <w:jc w:val="both"/>
            </w:pPr>
            <w:r>
              <w:t>Dokumentum</w:t>
            </w:r>
          </w:p>
        </w:tc>
        <w:tc>
          <w:tcPr>
            <w:tcW w:w="2265" w:type="dxa"/>
          </w:tcPr>
          <w:p w:rsidR="006A1606" w:rsidRDefault="006A1606" w:rsidP="00993A80">
            <w:pPr>
              <w:jc w:val="both"/>
            </w:pPr>
            <w:r>
              <w:t xml:space="preserve">Üzleti titkot tartalmazó iratrész/adat </w:t>
            </w:r>
          </w:p>
        </w:tc>
        <w:tc>
          <w:tcPr>
            <w:tcW w:w="2266" w:type="dxa"/>
          </w:tcPr>
          <w:p w:rsidR="006A1606" w:rsidRDefault="006A1606" w:rsidP="00993A80">
            <w:pPr>
              <w:jc w:val="both"/>
            </w:pPr>
            <w:r>
              <w:t xml:space="preserve">Indokolás </w:t>
            </w:r>
          </w:p>
        </w:tc>
        <w:tc>
          <w:tcPr>
            <w:tcW w:w="2266" w:type="dxa"/>
          </w:tcPr>
          <w:p w:rsidR="006A1606" w:rsidRDefault="006A1606" w:rsidP="00993A80">
            <w:pPr>
              <w:jc w:val="both"/>
            </w:pPr>
            <w:r>
              <w:t xml:space="preserve">A titok jogosultja </w:t>
            </w:r>
          </w:p>
        </w:tc>
      </w:tr>
      <w:tr w:rsidR="006A1606" w:rsidTr="006A1606">
        <w:tc>
          <w:tcPr>
            <w:tcW w:w="2265" w:type="dxa"/>
          </w:tcPr>
          <w:p w:rsidR="006A1606" w:rsidRDefault="006A1606" w:rsidP="00390E0F">
            <w:pPr>
              <w:jc w:val="both"/>
            </w:pPr>
            <w:r>
              <w:t>202</w:t>
            </w:r>
            <w:r w:rsidR="00390E0F">
              <w:t>6</w:t>
            </w:r>
            <w:proofErr w:type="gramStart"/>
            <w:r w:rsidR="00390E0F">
              <w:t>………..</w:t>
            </w:r>
            <w:r>
              <w:t>..</w:t>
            </w:r>
            <w:proofErr w:type="gramEnd"/>
            <w:r w:rsidR="00993A80">
              <w:t xml:space="preserve"> </w:t>
            </w:r>
            <w:r>
              <w:t xml:space="preserve">napján kelt </w:t>
            </w:r>
            <w:r w:rsidR="00233281">
              <w:t>árajánlat/</w:t>
            </w:r>
            <w:r>
              <w:t>szerződés 1. számú melléklete</w:t>
            </w:r>
          </w:p>
        </w:tc>
        <w:tc>
          <w:tcPr>
            <w:tcW w:w="2265" w:type="dxa"/>
          </w:tcPr>
          <w:p w:rsidR="006A1606" w:rsidRDefault="00390E0F" w:rsidP="00993A80">
            <w:pPr>
              <w:jc w:val="both"/>
            </w:pPr>
            <w:r>
              <w:t>Terméklista</w:t>
            </w:r>
          </w:p>
        </w:tc>
        <w:tc>
          <w:tcPr>
            <w:tcW w:w="2266" w:type="dxa"/>
          </w:tcPr>
          <w:p w:rsidR="006A1606" w:rsidRDefault="006A1606" w:rsidP="00993A80">
            <w:pPr>
              <w:jc w:val="both"/>
            </w:pPr>
            <w:r>
              <w:t xml:space="preserve">A szerződés felek közötti létrejötte nem ismert üzleti információ, amelyből a vállalkozások jövőbeli piaci magatartására vonható le következtetés. Az információ közismertté válása, az ahhoz való hozzáférés ezért hátrányt okozna a vállalkozásnak versenytársaival szemben. </w:t>
            </w:r>
          </w:p>
        </w:tc>
        <w:tc>
          <w:tcPr>
            <w:tcW w:w="2266" w:type="dxa"/>
          </w:tcPr>
          <w:p w:rsidR="006A1606" w:rsidRDefault="006A1606" w:rsidP="006A1606">
            <w:pPr>
              <w:jc w:val="both"/>
            </w:pPr>
            <w:r>
              <w:t xml:space="preserve">XY Vállalkozás </w:t>
            </w:r>
          </w:p>
          <w:p w:rsidR="006A1606" w:rsidRDefault="006A1606" w:rsidP="006A1606">
            <w:pPr>
              <w:jc w:val="both"/>
            </w:pPr>
          </w:p>
        </w:tc>
      </w:tr>
      <w:tr w:rsidR="006A1606" w:rsidTr="006A1606">
        <w:tc>
          <w:tcPr>
            <w:tcW w:w="2265" w:type="dxa"/>
          </w:tcPr>
          <w:p w:rsidR="006A1606" w:rsidRDefault="006A1606" w:rsidP="006A1606">
            <w:pPr>
              <w:jc w:val="both"/>
            </w:pPr>
            <w:r>
              <w:t>202</w:t>
            </w:r>
            <w:r w:rsidR="00390E0F">
              <w:t>6</w:t>
            </w:r>
            <w:r>
              <w:t xml:space="preserve">. </w:t>
            </w:r>
            <w:r w:rsidR="00390E0F">
              <w:t>…</w:t>
            </w:r>
            <w:proofErr w:type="gramStart"/>
            <w:r w:rsidR="00390E0F">
              <w:t>…………….</w:t>
            </w:r>
            <w:proofErr w:type="gramEnd"/>
            <w:r>
              <w:t xml:space="preserve"> napján kelt </w:t>
            </w:r>
            <w:r w:rsidR="00233281">
              <w:t>árajánlat</w:t>
            </w:r>
            <w:r>
              <w:t xml:space="preserve"> </w:t>
            </w:r>
          </w:p>
          <w:p w:rsidR="006A1606" w:rsidRDefault="006A1606" w:rsidP="006A1606">
            <w:pPr>
              <w:jc w:val="both"/>
            </w:pPr>
          </w:p>
        </w:tc>
        <w:tc>
          <w:tcPr>
            <w:tcW w:w="2265" w:type="dxa"/>
          </w:tcPr>
          <w:p w:rsidR="006A1606" w:rsidRDefault="006A1606" w:rsidP="006A1606">
            <w:pPr>
              <w:jc w:val="both"/>
            </w:pPr>
            <w:r>
              <w:t xml:space="preserve">8. oldal 2. számú táblázat árbevételi adatai </w:t>
            </w:r>
          </w:p>
          <w:p w:rsidR="006A1606" w:rsidRDefault="006A1606" w:rsidP="006A1606">
            <w:pPr>
              <w:jc w:val="both"/>
            </w:pPr>
          </w:p>
        </w:tc>
        <w:tc>
          <w:tcPr>
            <w:tcW w:w="2266" w:type="dxa"/>
          </w:tcPr>
          <w:p w:rsidR="006A1606" w:rsidRDefault="006A1606" w:rsidP="006A1606">
            <w:pPr>
              <w:jc w:val="both"/>
            </w:pPr>
            <w:r>
              <w:t xml:space="preserve">A vállalkozás árbevételi adatai a táblázatban szereplő részletességű bontásban </w:t>
            </w:r>
            <w:r>
              <w:lastRenderedPageBreak/>
              <w:t xml:space="preserve">közhiteles nyilvántartásnak nem részei, és azokból következtetés vonható le a vállalkozás üzleti stratégiájára. Az árbevételi adatok harmadik személyek általi megismerése jelentős üzleti kárt okozhat a vállalkozásnak. </w:t>
            </w:r>
          </w:p>
        </w:tc>
        <w:tc>
          <w:tcPr>
            <w:tcW w:w="2266" w:type="dxa"/>
          </w:tcPr>
          <w:p w:rsidR="006A1606" w:rsidRDefault="006A1606" w:rsidP="006A1606">
            <w:pPr>
              <w:jc w:val="both"/>
            </w:pPr>
            <w:r>
              <w:lastRenderedPageBreak/>
              <w:t xml:space="preserve">XY Vállalkozás </w:t>
            </w:r>
          </w:p>
          <w:p w:rsidR="006A1606" w:rsidRDefault="006A1606" w:rsidP="006A1606">
            <w:pPr>
              <w:jc w:val="both"/>
            </w:pPr>
          </w:p>
        </w:tc>
      </w:tr>
      <w:tr w:rsidR="006A1606" w:rsidTr="006A1606">
        <w:tc>
          <w:tcPr>
            <w:tcW w:w="2265" w:type="dxa"/>
          </w:tcPr>
          <w:p w:rsidR="006A1606" w:rsidRDefault="006A1606" w:rsidP="006A1606">
            <w:pPr>
              <w:jc w:val="both"/>
            </w:pPr>
            <w:proofErr w:type="gramStart"/>
            <w:r>
              <w:t>202</w:t>
            </w:r>
            <w:r w:rsidR="005E3388">
              <w:t>6</w:t>
            </w:r>
            <w:r>
              <w:t xml:space="preserve">. </w:t>
            </w:r>
            <w:r w:rsidR="005E3388">
              <w:t>…</w:t>
            </w:r>
            <w:proofErr w:type="gramEnd"/>
            <w:r w:rsidR="005E3388">
              <w:t>…………………………</w:t>
            </w:r>
            <w:r>
              <w:t xml:space="preserve">. napján kelt beadvány </w:t>
            </w:r>
          </w:p>
          <w:p w:rsidR="006A1606" w:rsidRDefault="006A1606" w:rsidP="006A1606">
            <w:pPr>
              <w:jc w:val="both"/>
            </w:pPr>
          </w:p>
        </w:tc>
        <w:tc>
          <w:tcPr>
            <w:tcW w:w="2265" w:type="dxa"/>
          </w:tcPr>
          <w:p w:rsidR="006A1606" w:rsidRDefault="006A1606" w:rsidP="005E3388">
            <w:pPr>
              <w:jc w:val="both"/>
            </w:pPr>
            <w:proofErr w:type="gramStart"/>
            <w:r>
              <w:t>202</w:t>
            </w:r>
            <w:r w:rsidR="005E3388">
              <w:t>6</w:t>
            </w:r>
            <w:r>
              <w:t xml:space="preserve">. </w:t>
            </w:r>
            <w:r w:rsidR="005E3388">
              <w:t>…</w:t>
            </w:r>
            <w:proofErr w:type="gramEnd"/>
            <w:r w:rsidR="005E3388">
              <w:t>……….</w:t>
            </w:r>
            <w:r>
              <w:t xml:space="preserve">. napján kelt beadvány 5. oldal 21. pontjának szürke háttérrel kiemelt részei </w:t>
            </w:r>
          </w:p>
        </w:tc>
        <w:tc>
          <w:tcPr>
            <w:tcW w:w="2266" w:type="dxa"/>
          </w:tcPr>
          <w:p w:rsidR="006A1606" w:rsidRDefault="006A1606" w:rsidP="00993A80">
            <w:pPr>
              <w:jc w:val="both"/>
            </w:pPr>
            <w:r>
              <w:t xml:space="preserve">Az információ olyan, a vállalkozás működése során alkalmazott műszaki megoldás (know-how) leírását tartalmazza, amelyet a vállalkozás külső szereplőkkel szemben bizalmasan kezel, ezért az ahhoz való hozzáférés sértené a vállalkozásnak üzleti érdekeit. </w:t>
            </w:r>
          </w:p>
        </w:tc>
        <w:tc>
          <w:tcPr>
            <w:tcW w:w="2266" w:type="dxa"/>
          </w:tcPr>
          <w:p w:rsidR="006A1606" w:rsidRDefault="006A1606" w:rsidP="006A1606">
            <w:pPr>
              <w:jc w:val="both"/>
            </w:pPr>
            <w:r>
              <w:t xml:space="preserve">XY Vállalkozás </w:t>
            </w:r>
          </w:p>
          <w:p w:rsidR="006A1606" w:rsidRDefault="006A1606" w:rsidP="006A1606">
            <w:pPr>
              <w:jc w:val="both"/>
            </w:pPr>
          </w:p>
        </w:tc>
      </w:tr>
    </w:tbl>
    <w:p w:rsidR="001C4CDC" w:rsidRDefault="001C4CDC" w:rsidP="006A1606">
      <w:pPr>
        <w:jc w:val="both"/>
      </w:pPr>
      <w:r>
        <w:t>Amennyiben nem állapítható meg egyértelműen, hogy a szerződő partner mely továbbított adatot tekinti üzleti titoknak, vagy az üzleti titok törvényi meghatározásával nyilvánvalóan ellentétes módon kerül üzleti titokként megjelölésre valamely adatkör, a</w:t>
      </w:r>
      <w:r w:rsidR="005E3388">
        <w:t>z</w:t>
      </w:r>
      <w:r>
        <w:t xml:space="preserve"> </w:t>
      </w:r>
      <w:r w:rsidR="005E3388">
        <w:t>Intézmény</w:t>
      </w:r>
      <w:r>
        <w:t xml:space="preserve"> munkatársa nyilatkozattételre hívja fel a szerződő partnert az üzleti titoknak minősülő adatkör és az egyedi indokolás pontos megjelölése érdekében. Felhívjuk figyelmét, hogy amennyiben nem egyértelmű az üzleti titokként megjelölés jogszerűsége, az érintett adat megismerhetőségéről a közbeszerzési és más beszerzési eljárásban a</w:t>
      </w:r>
      <w:r w:rsidR="005E3388">
        <w:t>z</w:t>
      </w:r>
      <w:r>
        <w:t xml:space="preserve"> </w:t>
      </w:r>
      <w:r w:rsidR="005E3388">
        <w:t xml:space="preserve">intézményvezető </w:t>
      </w:r>
      <w:r>
        <w:t xml:space="preserve">dönt. Amennyiben az érintett a megküldött dokumentumban szereplő valamennyi adatot üzleti titokként jelöl meg, úgy az üzleti titokként megjelölés jogszerűsége nem egyértelmű. </w:t>
      </w:r>
    </w:p>
    <w:p w:rsidR="001C4CDC" w:rsidRDefault="001C4CDC" w:rsidP="006A1606">
      <w:pPr>
        <w:jc w:val="both"/>
      </w:pPr>
      <w:r>
        <w:t xml:space="preserve">Az üzleti titok fogalmi eleme, hogy az érintett információ vagyoni, kereskedelmi értékkel rendelkezzen. Erre tekintettel az üzleti titok nyilatkozatban az egyediesített indokolásban különösen azokat a körülményeket kell megjelölni, amelyek alátámasztják, hogy az adat vagyoni értékkel bír, valamint azt a védendő érdeket, amely az adat jogosulatlan személy általi megismerése esetén sérülne. Ilyen körülmény különösen, ha az információ felfedése a jogosult jogszerű gazdasági, pénzügyi, üzleti érdekeit sértené. Az üzleti titokként megjelölt adat vagyoni értéke megállapítható, ha például az információ jogosulatlan megszerzése, </w:t>
      </w:r>
      <w:r>
        <w:lastRenderedPageBreak/>
        <w:t xml:space="preserve">hasznosítása, illetve felfedése valószínűsíthetően sérti a felette ellenőrzést jogszerűen gyakorló személy érdekeit, mivel csökkenti e személy tudományos és technikai lehetőségeit, illetve sérti üzleti vagy pénzügyi érdekeit, stratégiai pozícióját vagy versenyképességét. </w:t>
      </w:r>
    </w:p>
    <w:p w:rsidR="001C4CDC" w:rsidRDefault="001C4CDC" w:rsidP="006A1606">
      <w:pPr>
        <w:jc w:val="both"/>
      </w:pPr>
      <w:r>
        <w:t xml:space="preserve">Az üzleti titok fogalmi eleme emellett, hogy annak titokban tartása érdekében a titok jogosultja az adott helyzetben általában elvárható magatartást tanúsítja. Ezt figyelembe véve tájékoztatjuk, hogy amennyiben Ön </w:t>
      </w:r>
      <w:r w:rsidR="005E3388">
        <w:t xml:space="preserve">az Intézmény </w:t>
      </w:r>
      <w:r>
        <w:t xml:space="preserve">részére üzleti titkot tartalmazó dokumentumot kíván megküldeni, ezen adatok védelme érdekében az adattovábbítás során minden olyan intézkedést a titok jogosultjának kell megtennie, amely a titokvédelem biztosítására alkalmas és ahhoz szükséges. </w:t>
      </w:r>
      <w:r w:rsidR="003279F7">
        <w:t>A</w:t>
      </w:r>
      <w:bookmarkStart w:id="0" w:name="_GoBack"/>
      <w:bookmarkEnd w:id="0"/>
      <w:r>
        <w:t xml:space="preserve"> szerződő partner felelőssége, hogy az iratot biztonságos csatornán vagy biztonságos fájlmegosztó rendszeren keresztül továbbítsa, azt titkosított elektronikus levélben küldje meg, illetve a dokumentumon egyértelmű, az üzleti titok </w:t>
      </w:r>
      <w:proofErr w:type="spellStart"/>
      <w:r>
        <w:t>tényére</w:t>
      </w:r>
      <w:proofErr w:type="spellEnd"/>
      <w:r>
        <w:t xml:space="preserve"> utaló jelzést tüntessen fel. Az adott helyzetben általában elvárható magatartás körébe tartozik az is, hogy a jogosult az üzleti titok nyilatkozatát érdemben, olyan mélységben indokolja, amely lehetővé teszi a</w:t>
      </w:r>
      <w:r w:rsidR="005E3388">
        <w:t>z</w:t>
      </w:r>
      <w:r>
        <w:t xml:space="preserve"> </w:t>
      </w:r>
      <w:r w:rsidR="005E3388">
        <w:t>Intézmény</w:t>
      </w:r>
      <w:r>
        <w:t xml:space="preserve"> számára annak megalapozott valószínűsítését, hogy az adat illetéktelenek által történő megszerzése, hasznosítása, másokkal való közlése vagy nyilvánosságra hozatala sértené vagy veszélyeztetné a jogosult jogszerű gazdasági, pénzügyi vagy üzleti érdekeit. Ez az üzleti titok fentiek szerinti fogalmi elemeinek megfelelően részletes, konkrétumokkal alátámasztott valószínűsítését követeli meg az indokolás körében. </w:t>
      </w:r>
    </w:p>
    <w:p w:rsidR="00233281" w:rsidRDefault="001C4CDC" w:rsidP="006A1606">
      <w:pPr>
        <w:jc w:val="both"/>
      </w:pPr>
      <w:r>
        <w:t>Amennyiben a fenti feltételek teljesülnek, a</w:t>
      </w:r>
      <w:r w:rsidR="005E3388">
        <w:t>z</w:t>
      </w:r>
      <w:r>
        <w:t xml:space="preserve"> </w:t>
      </w:r>
      <w:r w:rsidR="005E3388">
        <w:t>Intézmény</w:t>
      </w:r>
      <w:r>
        <w:t xml:space="preserve"> a </w:t>
      </w:r>
      <w:r w:rsidR="005E3388">
        <w:t>szabályzat</w:t>
      </w:r>
      <w:r>
        <w:t>ban meghatározottak szerint jár el az üzleti titok védelme érdekében. Ennek során a</w:t>
      </w:r>
      <w:r w:rsidR="005E3388">
        <w:t>z</w:t>
      </w:r>
      <w:r>
        <w:t xml:space="preserve"> </w:t>
      </w:r>
      <w:r w:rsidR="005E3388">
        <w:t>Intézmény</w:t>
      </w:r>
      <w:r>
        <w:t xml:space="preserve"> biztosítja, hogy az üzleti titkot kizárólag az a</w:t>
      </w:r>
      <w:r w:rsidR="005E3388">
        <w:t>z</w:t>
      </w:r>
      <w:r>
        <w:t xml:space="preserve"> </w:t>
      </w:r>
      <w:r w:rsidR="005E3388">
        <w:t>intézményi</w:t>
      </w:r>
      <w:r>
        <w:t xml:space="preserve"> munkatárs ismerheti meg, akinek ez a feladatköre ellátásához szükséges. Az utasítás teljes szövege és a vonatkozó védelmi intézkedések részletei az alábbi linken érhetők el:</w:t>
      </w:r>
      <w:r w:rsidR="00233281">
        <w:t xml:space="preserve"> </w:t>
      </w:r>
      <w:hyperlink r:id="rId8" w:history="1">
        <w:r w:rsidR="00233281" w:rsidRPr="009172CC">
          <w:rPr>
            <w:rStyle w:val="Hiperhivatkozs"/>
          </w:rPr>
          <w:t>https://gyulaotthon.hu/kozerdeku-adatok/uzleti-titok-szabalyzat</w:t>
        </w:r>
      </w:hyperlink>
      <w:r w:rsidR="00233281">
        <w:t>.</w:t>
      </w:r>
    </w:p>
    <w:p w:rsidR="001C4CDC" w:rsidRDefault="00A77C82" w:rsidP="006A1606">
      <w:pPr>
        <w:jc w:val="both"/>
      </w:pPr>
      <w:r>
        <w:t>Az intézmény átlátható működésről és a közérdekű adatok nyilvánosságra hozatalának rendjéről szóló szabályzata</w:t>
      </w:r>
      <w:r w:rsidR="001C4CDC">
        <w:t xml:space="preserve"> </w:t>
      </w:r>
      <w:r w:rsidR="00233281">
        <w:t xml:space="preserve">(továbbiakban átláthatósági szabályzat) </w:t>
      </w:r>
      <w:r w:rsidR="001C4CDC">
        <w:t>értelmében a</w:t>
      </w:r>
      <w:r>
        <w:t>z</w:t>
      </w:r>
      <w:r w:rsidR="001C4CDC">
        <w:t xml:space="preserve"> </w:t>
      </w:r>
      <w:r>
        <w:t>Intézmény</w:t>
      </w:r>
      <w:r w:rsidR="001C4CDC">
        <w:t xml:space="preserve"> a</w:t>
      </w:r>
      <w:r w:rsidR="00233281">
        <w:t>z</w:t>
      </w:r>
      <w:r w:rsidR="001C4CDC">
        <w:t xml:space="preserve"> </w:t>
      </w:r>
      <w:r w:rsidR="00233281">
        <w:t>átláthatósági szabályzatban</w:t>
      </w:r>
      <w:r w:rsidR="001C4CDC">
        <w:t xml:space="preserve"> meghatározott kivételekkel, az </w:t>
      </w:r>
      <w:r w:rsidR="00523182">
        <w:t>Intézmény</w:t>
      </w:r>
      <w:r w:rsidR="001C4CDC">
        <w:t xml:space="preserve"> által kötött minden egyes szerződés tekintetében közzétesz bizonyos szerződéses adatokat a szerződés létrejöttétől számított 30 napon belül. Ezen felül az </w:t>
      </w:r>
      <w:r w:rsidR="00233281">
        <w:t>Intézmény</w:t>
      </w:r>
      <w:r w:rsidR="001C4CDC">
        <w:t xml:space="preserve"> e szerződések közül a hárommillió forintot elérő értékű szerződések tekintetében a szerződés és a szerződés módosításainak szövegét, továbbá az ötmillió forintot elérő összegű, nem közbeszerzési eljárás keretében lefolytatott </w:t>
      </w:r>
      <w:r w:rsidR="00233281">
        <w:t>beszerzéseknek a</w:t>
      </w:r>
      <w:r w:rsidR="001C4CDC">
        <w:t xml:space="preserve"> meghatározott dokumentumait is közzéteszi. E közzétételi kötelezettség körében, illetve az egyedi közérdekűadat-igénylések teljesítése során az adatszolgáltatás csak olyan adatok vonatkozásában mellőzhető, amelyek továbbítása és kezelése a fenti kritériumoknak foglaltaknak megfelel. A</w:t>
      </w:r>
      <w:r w:rsidR="00233281">
        <w:t>z</w:t>
      </w:r>
      <w:r w:rsidR="001C4CDC">
        <w:t xml:space="preserve"> </w:t>
      </w:r>
      <w:r w:rsidR="00233281">
        <w:t>átláthatósági szabályzat</w:t>
      </w:r>
      <w:r w:rsidR="001C4CDC">
        <w:t xml:space="preserve"> teljes szövege és a közzétételi kötelezettség alá eső adatok pontos köre az alábbi linken érhető el:</w:t>
      </w:r>
      <w:r w:rsidR="00233281">
        <w:t xml:space="preserve"> </w:t>
      </w:r>
      <w:hyperlink r:id="rId9" w:history="1">
        <w:r w:rsidR="00233281" w:rsidRPr="009172CC">
          <w:rPr>
            <w:rStyle w:val="Hiperhivatkozs"/>
          </w:rPr>
          <w:t>https://gyulaotthon.hu/kozerdeku-adatok/adatigenylesek</w:t>
        </w:r>
      </w:hyperlink>
    </w:p>
    <w:p w:rsidR="001C4CDC" w:rsidRDefault="001C4CDC" w:rsidP="001C4CDC"/>
    <w:p w:rsidR="001C4CDC" w:rsidRDefault="001C4CDC" w:rsidP="001C4CDC"/>
    <w:p w:rsidR="008F7C16" w:rsidRDefault="001C4CDC" w:rsidP="001C4CDC">
      <w:r>
        <w:t>Megértésüket és együttműködésüket köszönjük!</w:t>
      </w:r>
    </w:p>
    <w:sectPr w:rsidR="008F7C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10C" w:rsidRDefault="005C510C" w:rsidP="00993A80">
      <w:pPr>
        <w:spacing w:before="0" w:after="0"/>
      </w:pPr>
      <w:r>
        <w:separator/>
      </w:r>
    </w:p>
  </w:endnote>
  <w:endnote w:type="continuationSeparator" w:id="0">
    <w:p w:rsidR="005C510C" w:rsidRDefault="005C510C" w:rsidP="00993A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10C" w:rsidRDefault="005C510C" w:rsidP="00993A80">
      <w:pPr>
        <w:spacing w:before="0" w:after="0"/>
      </w:pPr>
      <w:r>
        <w:separator/>
      </w:r>
    </w:p>
  </w:footnote>
  <w:footnote w:type="continuationSeparator" w:id="0">
    <w:p w:rsidR="005C510C" w:rsidRDefault="005C510C" w:rsidP="00993A80">
      <w:pPr>
        <w:spacing w:before="0" w:after="0"/>
      </w:pPr>
      <w:r>
        <w:continuationSeparator/>
      </w:r>
    </w:p>
  </w:footnote>
  <w:footnote w:id="1">
    <w:p w:rsidR="00993A80" w:rsidRDefault="00993A80" w:rsidP="00993A80">
      <w:pPr>
        <w:pStyle w:val="Lbjegyzetszveg"/>
        <w:jc w:val="both"/>
      </w:pPr>
      <w:r>
        <w:rPr>
          <w:rStyle w:val="Lbjegyzet-hivatkozs"/>
        </w:rPr>
        <w:footnoteRef/>
      </w:r>
      <w:r>
        <w:t xml:space="preserve"> Üzleti titok a gazdasági tevékenységhez kapcsolódó, titkos - egészben, vagy elemeinek összességeként nem közismert vagy az érintett gazdasági tevékenységet végző személyek számára nem könnyen hozzáférhető -, ennélfogva vagyoni értékkel bíró olyan tény, tájékoztatás, egyéb adat és az azokból készült összeállítás, amelynek a titokban tartása érdekében a titok jogosultja az adott helyzetben általában elvárható magatartást tanúsítja. (Lásd: az üzleti titok védelméről szóló 2018. évi LIV. törvény 1. § (1) bekezdését.) Minden esetben a titok jogosultjának kell mérlegelnie azt, hogy a törvényi definíció alapján a gazdasági tevékenységéhez kapcsolódóan mely adatokat tekinti üzleti titoknak. Lényeges ugyanakkor, hogy csak ezen adatok titokban tartása érdekében tett konkrét védelmi intézkedések alapozzák meg az üzleti titok minőséget. Ha a titok jogosultja semmilyen </w:t>
      </w:r>
      <w:proofErr w:type="spellStart"/>
      <w:r>
        <w:t>észszerű</w:t>
      </w:r>
      <w:proofErr w:type="spellEnd"/>
      <w:r>
        <w:t xml:space="preserve"> és az adott helyzetben általában elvárható intézkedést nem tesz a titokvédelem biztosítása érdekében, az adatok elveszíthetik az üzleti titok minőséget és az ezzel járó jogi védelmet 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157C"/>
    <w:multiLevelType w:val="multilevel"/>
    <w:tmpl w:val="25EA070C"/>
    <w:lvl w:ilvl="0">
      <w:start w:val="1"/>
      <w:numFmt w:val="upperRoman"/>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B5C1F36"/>
    <w:multiLevelType w:val="hybridMultilevel"/>
    <w:tmpl w:val="13AE465E"/>
    <w:lvl w:ilvl="0" w:tplc="BB8C7DC4">
      <w:start w:val="1"/>
      <w:numFmt w:val="upperRoman"/>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5F52F03"/>
    <w:multiLevelType w:val="multilevel"/>
    <w:tmpl w:val="8834BC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D657A2"/>
    <w:multiLevelType w:val="multilevel"/>
    <w:tmpl w:val="E6DC0D12"/>
    <w:styleLink w:val="Stlus1"/>
    <w:lvl w:ilvl="0">
      <w:start w:val="1"/>
      <w:numFmt w:val="upperRoman"/>
      <w:lvlText w:val="%1."/>
      <w:lvlJc w:val="left"/>
      <w:pPr>
        <w:ind w:left="720" w:hanging="360"/>
      </w:pPr>
      <w:rPr>
        <w:rFonts w:ascii="Calibri" w:hAnsi="Calibri" w:hint="default"/>
        <w:color w:val="auto"/>
        <w:sz w:val="28"/>
      </w:rPr>
    </w:lvl>
    <w:lvl w:ilvl="1">
      <w:start w:val="1"/>
      <w:numFmt w:val="decimal"/>
      <w:lvlText w:val="%2."/>
      <w:lvlJc w:val="left"/>
      <w:pPr>
        <w:ind w:left="1134" w:hanging="567"/>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3C3A340A"/>
    <w:multiLevelType w:val="hybridMultilevel"/>
    <w:tmpl w:val="581C9A6C"/>
    <w:lvl w:ilvl="0" w:tplc="F31C3B26">
      <w:start w:val="1"/>
      <w:numFmt w:val="upperRoman"/>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346160C"/>
    <w:multiLevelType w:val="multilevel"/>
    <w:tmpl w:val="E056C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421E92"/>
    <w:multiLevelType w:val="multilevel"/>
    <w:tmpl w:val="F0FA71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73F86"/>
    <w:multiLevelType w:val="hybridMultilevel"/>
    <w:tmpl w:val="63BEEB8E"/>
    <w:lvl w:ilvl="0" w:tplc="35F2F72E">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C205BF3"/>
    <w:multiLevelType w:val="hybridMultilevel"/>
    <w:tmpl w:val="61740866"/>
    <w:lvl w:ilvl="0" w:tplc="A2B6908C">
      <w:start w:val="1"/>
      <w:numFmt w:val="decimal"/>
      <w:pStyle w:val="Cmsor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7"/>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DC"/>
    <w:rsid w:val="0005048B"/>
    <w:rsid w:val="001C4CDC"/>
    <w:rsid w:val="00233281"/>
    <w:rsid w:val="003279F7"/>
    <w:rsid w:val="00390E0F"/>
    <w:rsid w:val="004841F8"/>
    <w:rsid w:val="00523182"/>
    <w:rsid w:val="005C510C"/>
    <w:rsid w:val="005D459B"/>
    <w:rsid w:val="005E3388"/>
    <w:rsid w:val="006A1606"/>
    <w:rsid w:val="006E6754"/>
    <w:rsid w:val="008F7C16"/>
    <w:rsid w:val="00993A80"/>
    <w:rsid w:val="00A77C82"/>
    <w:rsid w:val="00B13AB6"/>
    <w:rsid w:val="00B15C00"/>
    <w:rsid w:val="00C02BB2"/>
    <w:rsid w:val="00D4220B"/>
    <w:rsid w:val="00D77B20"/>
    <w:rsid w:val="00E701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EF6A9-2651-48A6-A2FC-9670847C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048B"/>
    <w:pPr>
      <w:spacing w:before="120" w:after="120" w:line="240" w:lineRule="auto"/>
    </w:pPr>
    <w:rPr>
      <w:rFonts w:ascii="Calibri" w:hAnsi="Calibri" w:cs="Times New Roman"/>
      <w:sz w:val="24"/>
      <w:szCs w:val="20"/>
      <w:lang w:eastAsia="hu-HU"/>
    </w:rPr>
  </w:style>
  <w:style w:type="paragraph" w:styleId="Cmsor1">
    <w:name w:val="heading 1"/>
    <w:basedOn w:val="Norml"/>
    <w:next w:val="Norml"/>
    <w:link w:val="Cmsor1Char"/>
    <w:qFormat/>
    <w:rsid w:val="00D77B20"/>
    <w:pPr>
      <w:keepNext/>
      <w:numPr>
        <w:numId w:val="11"/>
      </w:numPr>
      <w:jc w:val="center"/>
      <w:outlineLvl w:val="0"/>
    </w:pPr>
    <w:rPr>
      <w:rFonts w:ascii="Times New Roman" w:hAnsi="Times New Roman"/>
      <w:b/>
      <w:lang w:eastAsia="en-US"/>
    </w:rPr>
  </w:style>
  <w:style w:type="paragraph" w:styleId="Cmsor2">
    <w:name w:val="heading 2"/>
    <w:basedOn w:val="Norml"/>
    <w:next w:val="Norml"/>
    <w:link w:val="Cmsor2Char"/>
    <w:qFormat/>
    <w:rsid w:val="00D4220B"/>
    <w:pPr>
      <w:keepNext/>
      <w:spacing w:before="0" w:after="0"/>
      <w:outlineLvl w:val="1"/>
    </w:pPr>
    <w:rPr>
      <w:rFonts w:cstheme="minorBidi"/>
      <w:b/>
      <w:bCs/>
      <w:szCs w:val="22"/>
      <w:lang w:eastAsia="en-US"/>
    </w:rPr>
  </w:style>
  <w:style w:type="paragraph" w:styleId="Cmsor3">
    <w:name w:val="heading 3"/>
    <w:basedOn w:val="Norml"/>
    <w:next w:val="Norml"/>
    <w:link w:val="Cmsor3Char"/>
    <w:qFormat/>
    <w:rsid w:val="005D459B"/>
    <w:pPr>
      <w:keepNext/>
      <w:spacing w:before="0" w:after="0"/>
      <w:jc w:val="both"/>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D77B20"/>
    <w:rPr>
      <w:rFonts w:ascii="Times New Roman" w:hAnsi="Times New Roman" w:cs="Times New Roman"/>
      <w:b/>
      <w:sz w:val="24"/>
      <w:szCs w:val="20"/>
    </w:rPr>
  </w:style>
  <w:style w:type="character" w:customStyle="1" w:styleId="Cmsor2Char">
    <w:name w:val="Címsor 2 Char"/>
    <w:link w:val="Cmsor2"/>
    <w:rsid w:val="00D4220B"/>
    <w:rPr>
      <w:rFonts w:ascii="Calibri" w:hAnsi="Calibri"/>
      <w:b/>
      <w:bCs/>
      <w:sz w:val="24"/>
    </w:rPr>
  </w:style>
  <w:style w:type="character" w:customStyle="1" w:styleId="Cmsor3Char">
    <w:name w:val="Címsor 3 Char"/>
    <w:link w:val="Cmsor3"/>
    <w:rsid w:val="005D459B"/>
    <w:rPr>
      <w:rFonts w:ascii="Calibri" w:hAnsi="Calibri" w:cs="Times New Roman"/>
      <w:sz w:val="24"/>
      <w:szCs w:val="20"/>
      <w:lang w:eastAsia="hu-HU"/>
    </w:rPr>
  </w:style>
  <w:style w:type="numbering" w:customStyle="1" w:styleId="Stlus1">
    <w:name w:val="Stílus1"/>
    <w:uiPriority w:val="99"/>
    <w:rsid w:val="004841F8"/>
    <w:pPr>
      <w:numPr>
        <w:numId w:val="10"/>
      </w:numPr>
    </w:pPr>
  </w:style>
  <w:style w:type="table" w:styleId="Rcsostblzat">
    <w:name w:val="Table Grid"/>
    <w:basedOn w:val="Normltblzat"/>
    <w:uiPriority w:val="39"/>
    <w:rsid w:val="006A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993A80"/>
    <w:pPr>
      <w:spacing w:before="0" w:after="0"/>
    </w:pPr>
    <w:rPr>
      <w:sz w:val="20"/>
    </w:rPr>
  </w:style>
  <w:style w:type="character" w:customStyle="1" w:styleId="LbjegyzetszvegChar">
    <w:name w:val="Lábjegyzetszöveg Char"/>
    <w:basedOn w:val="Bekezdsalapbettpusa"/>
    <w:link w:val="Lbjegyzetszveg"/>
    <w:uiPriority w:val="99"/>
    <w:semiHidden/>
    <w:rsid w:val="00993A80"/>
    <w:rPr>
      <w:rFonts w:ascii="Calibri" w:hAnsi="Calibri" w:cs="Times New Roman"/>
      <w:sz w:val="20"/>
      <w:szCs w:val="20"/>
      <w:lang w:eastAsia="hu-HU"/>
    </w:rPr>
  </w:style>
  <w:style w:type="character" w:styleId="Lbjegyzet-hivatkozs">
    <w:name w:val="footnote reference"/>
    <w:basedOn w:val="Bekezdsalapbettpusa"/>
    <w:uiPriority w:val="99"/>
    <w:semiHidden/>
    <w:unhideWhenUsed/>
    <w:rsid w:val="00993A80"/>
    <w:rPr>
      <w:vertAlign w:val="superscript"/>
    </w:rPr>
  </w:style>
  <w:style w:type="character" w:styleId="Hiperhivatkozs">
    <w:name w:val="Hyperlink"/>
    <w:basedOn w:val="Bekezdsalapbettpusa"/>
    <w:uiPriority w:val="99"/>
    <w:unhideWhenUsed/>
    <w:rsid w:val="002332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yulaotthon.hu/kozerdeku-adatok/uzleti-titok-szabalyz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yulaotthon.hu/kozerdeku-adatok/adatigenyles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176C-C31D-4876-9DA2-8FC615C2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1221</Words>
  <Characters>8430</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Gazdasági Vezető - Fővárosi Önkormányzat Gyulai Idősek Otthona</dc:creator>
  <cp:keywords/>
  <dc:description/>
  <cp:lastModifiedBy>Gazdasági Vezető - Fővárosi Önkormányzat Gyulai Idősek Otthona</cp:lastModifiedBy>
  <cp:revision>3</cp:revision>
  <dcterms:created xsi:type="dcterms:W3CDTF">2026-05-11T08:46:00Z</dcterms:created>
  <dcterms:modified xsi:type="dcterms:W3CDTF">2026-05-12T09:53:00Z</dcterms:modified>
</cp:coreProperties>
</file>